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15EA" w:rsidRDefault="00D649AB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EC15EA" w:rsidRDefault="00D649AB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Развитие системы управления потоками сбора и передачи данных «Пионер» в 2026 году</w:t>
      </w:r>
    </w:p>
    <w:p w:rsidR="00EC15EA" w:rsidRDefault="00D649AB">
      <w:pPr>
        <w:spacing w:before="113"/>
        <w:jc w:val="center"/>
        <w:rPr>
          <w:b/>
          <w:bCs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26</w:t>
      </w:r>
      <w:r>
        <w:rPr>
          <w:b/>
          <w:bCs/>
        </w:rPr>
        <w:t>.10083</w:t>
      </w:r>
    </w:p>
    <w:p w:rsidR="00EC15EA" w:rsidRDefault="00D649AB">
      <w:pPr>
        <w:pStyle w:val="1"/>
        <w:numPr>
          <w:ilvl w:val="0"/>
          <w:numId w:val="1"/>
        </w:numPr>
      </w:pPr>
      <w:r>
        <w:t>ОПИСАНИЕ ИПКВ ИТ</w:t>
      </w:r>
    </w:p>
    <w:p w:rsidR="00EC15EA" w:rsidRDefault="00D649AB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EC15EA" w:rsidRDefault="00D649AB">
      <w:pPr>
        <w:rPr>
          <w:sz w:val="26"/>
          <w:szCs w:val="26"/>
        </w:rPr>
      </w:pPr>
      <w:r>
        <w:t xml:space="preserve">Развитие системы управления потоками сбора и передачи данных «Пионер» </w:t>
      </w:r>
    </w:p>
    <w:p w:rsidR="00EC15EA" w:rsidRDefault="00D649AB">
      <w:pPr>
        <w:rPr>
          <w:sz w:val="26"/>
          <w:szCs w:val="26"/>
        </w:rPr>
      </w:pPr>
      <w:r>
        <w:t>Существующий НМА инвентарный №УХ-000149.</w:t>
      </w:r>
    </w:p>
    <w:p w:rsidR="00EC15EA" w:rsidRDefault="00D649AB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EC15EA" w:rsidRDefault="00EC15EA"/>
    <w:p w:rsidR="00EC15EA" w:rsidRDefault="00D649AB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EC15EA" w:rsidRDefault="00D649AB" w:rsidP="00D649AB">
      <w:pPr>
        <w:jc w:val="both"/>
      </w:pPr>
      <w:r>
        <w:t>Согласно федеральному закону от 27.12.2018 №522-ФЗ «О внесении изменений в о</w:t>
      </w:r>
      <w:r>
        <w:t>тдельные законодательные акты Российской Федерации в связи с развитием систем учета электрической энергии (мощности) в Российской Федерации» всем гарантирующим поставщикам и сетевым компаниям необходимо с 1 января 2022 года обеспечить безвозмездное предост</w:t>
      </w:r>
      <w:r>
        <w:t>авление субъектам электроэнергетики и потребителям электрической энергии, в отношении которых они обеспечивают коммерческий учет такой энергии, минимального набора функций ИСУ.</w:t>
      </w:r>
    </w:p>
    <w:p w:rsidR="00EC15EA" w:rsidRDefault="00D649AB" w:rsidP="00D649AB">
      <w:pPr>
        <w:jc w:val="both"/>
        <w:rPr>
          <w:sz w:val="26"/>
          <w:szCs w:val="26"/>
        </w:rPr>
      </w:pPr>
      <w:r>
        <w:t>Интеллектуальная система учета электрической энергии (мощности) (ИСУ) – совокуп</w:t>
      </w:r>
      <w:r>
        <w:t>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</w:t>
      </w:r>
      <w:r>
        <w:t>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количе</w:t>
      </w:r>
      <w:r>
        <w:t>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Федерации.</w:t>
      </w:r>
    </w:p>
    <w:p w:rsidR="00EC15EA" w:rsidRDefault="00D649AB" w:rsidP="00D649AB">
      <w:pPr>
        <w:jc w:val="both"/>
        <w:rPr>
          <w:sz w:val="26"/>
          <w:szCs w:val="26"/>
        </w:rPr>
      </w:pPr>
      <w:r>
        <w:t>В рамках проекта</w:t>
      </w:r>
      <w:r>
        <w:t xml:space="preserve"> «Построение интеллектуальной системы учета ИСУ» внедрен информационно-вычислительный комплекс (ИВК), одним из составляющих которого является система управления потоками сбора и передачи данных с ИПУ (программно-аппаратных средств, допущенных в эксплуатаци</w:t>
      </w:r>
      <w:r>
        <w:t>ю для целей коммерческого учета электрической энергии на розничных рынках электрической энергии и (или) предоставления коммунальных услуг по электроснабжению), и присоединенных к ИСУ, при этом имеющая возможностью передачи управляющих команд.  Данная систе</w:t>
      </w:r>
      <w:r>
        <w:t xml:space="preserve">ма обеспечивает передачу данных между приборами и комплексами информационно-измерительного комплекса и ИВК, осуществляет контроль доступности, обеспечивает полноту сбора данных и отслеживает динамически изменяемые маршруты доступа к приборам учета. </w:t>
      </w:r>
    </w:p>
    <w:p w:rsidR="00EC15EA" w:rsidRDefault="00EC15EA">
      <w:pPr>
        <w:rPr>
          <w:sz w:val="26"/>
          <w:szCs w:val="26"/>
        </w:rPr>
      </w:pPr>
    </w:p>
    <w:p w:rsidR="00EC15EA" w:rsidRDefault="00D649AB">
      <w:pPr>
        <w:pStyle w:val="2"/>
        <w:numPr>
          <w:ilvl w:val="1"/>
          <w:numId w:val="1"/>
        </w:numPr>
      </w:pPr>
      <w:r>
        <w:lastRenderedPageBreak/>
        <w:t xml:space="preserve">Цель </w:t>
      </w:r>
      <w:r>
        <w:t>ИПКВ ИТ</w:t>
      </w:r>
    </w:p>
    <w:p w:rsidR="00EC15EA" w:rsidRDefault="00D649AB" w:rsidP="00D649AB">
      <w:pPr>
        <w:jc w:val="both"/>
      </w:pPr>
      <w:r>
        <w:t>Целью проекта является развитие системы управления потоками сбора и передачи данных «</w:t>
      </w:r>
      <w:proofErr w:type="gramStart"/>
      <w:r>
        <w:t>Пионер»  учета</w:t>
      </w:r>
      <w:proofErr w:type="gramEnd"/>
      <w:r>
        <w:t xml:space="preserve"> электрической энергии для исполнения обязанностей Гарантирующего поставщика, возникающих на основании требований Федерального закона от 26.03.2003 №</w:t>
      </w:r>
      <w:r>
        <w:t xml:space="preserve"> 35-ФЗ «Об электроэнергетике».</w:t>
      </w:r>
    </w:p>
    <w:p w:rsidR="00EC15EA" w:rsidRDefault="00D649AB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EC15EA" w:rsidRDefault="00D649AB" w:rsidP="00D649AB">
      <w:pPr>
        <w:jc w:val="both"/>
      </w:pPr>
      <w:r>
        <w:t xml:space="preserve">В рамках проекта проведены работы по развитию системы управления потоками сбора и передачи данных с ИПУ с возможностью передачи управляющих команд на ИПУ (СУП СПД «Пионер»). </w:t>
      </w:r>
    </w:p>
    <w:p w:rsidR="00EC15EA" w:rsidRDefault="00D649AB" w:rsidP="00D649AB">
      <w:pPr>
        <w:jc w:val="both"/>
        <w:rPr>
          <w:sz w:val="26"/>
          <w:szCs w:val="26"/>
        </w:rPr>
      </w:pPr>
      <w:r>
        <w:t>Плановый объем доработ</w:t>
      </w:r>
      <w:r>
        <w:t xml:space="preserve">ок СИГМА.ИВК по заданиям АО «Петербургская сбытовая компания» на период 2026 </w:t>
      </w:r>
      <w:proofErr w:type="gramStart"/>
      <w:r>
        <w:t>года :</w:t>
      </w:r>
      <w:proofErr w:type="gramEnd"/>
    </w:p>
    <w:p w:rsidR="00EC15EA" w:rsidRDefault="00D649AB" w:rsidP="00D649AB">
      <w:pPr>
        <w:jc w:val="both"/>
        <w:rPr>
          <w:sz w:val="26"/>
          <w:szCs w:val="26"/>
        </w:rPr>
      </w:pPr>
      <w:r>
        <w:t>Работы по модернизации Системы:</w:t>
      </w:r>
    </w:p>
    <w:p w:rsidR="00EC15EA" w:rsidRDefault="00D649AB" w:rsidP="00D649AB">
      <w:pPr>
        <w:jc w:val="both"/>
        <w:rPr>
          <w:sz w:val="26"/>
          <w:szCs w:val="26"/>
        </w:rPr>
      </w:pPr>
      <w:r>
        <w:t>1.</w:t>
      </w:r>
      <w:r>
        <w:tab/>
        <w:t xml:space="preserve">Поддержка "новых" ИПУ </w:t>
      </w:r>
      <w:proofErr w:type="spellStart"/>
      <w:r>
        <w:t>Нартис</w:t>
      </w:r>
      <w:proofErr w:type="spellEnd"/>
      <w:r>
        <w:t xml:space="preserve"> с </w:t>
      </w:r>
      <w:proofErr w:type="spellStart"/>
      <w:r>
        <w:t>ZigBee</w:t>
      </w:r>
      <w:proofErr w:type="spellEnd"/>
      <w:r>
        <w:t xml:space="preserve"> (</w:t>
      </w:r>
      <w:proofErr w:type="spellStart"/>
      <w:r>
        <w:t>Нартис</w:t>
      </w:r>
      <w:proofErr w:type="spellEnd"/>
      <w:r>
        <w:t xml:space="preserve"> И100 и И300).</w:t>
      </w:r>
    </w:p>
    <w:p w:rsidR="00EC15EA" w:rsidRDefault="00D649AB" w:rsidP="00D649AB">
      <w:pPr>
        <w:jc w:val="both"/>
        <w:rPr>
          <w:sz w:val="26"/>
          <w:szCs w:val="26"/>
        </w:rPr>
      </w:pPr>
      <w:r>
        <w:t>2.</w:t>
      </w:r>
      <w:r>
        <w:tab/>
        <w:t xml:space="preserve">Разработка ТЗ на интеграцию ПУ из Приложения 1 протокола очного совещания </w:t>
      </w:r>
      <w:r>
        <w:t>по теме «План дальнейших работ по ИСУ» от 19.12.2024</w:t>
      </w:r>
    </w:p>
    <w:p w:rsidR="00EC15EA" w:rsidRDefault="00D649AB" w:rsidP="00D649AB">
      <w:pPr>
        <w:jc w:val="both"/>
        <w:rPr>
          <w:sz w:val="26"/>
          <w:szCs w:val="26"/>
        </w:rPr>
      </w:pPr>
      <w:r>
        <w:t>3.</w:t>
      </w:r>
      <w:r>
        <w:tab/>
      </w:r>
      <w:proofErr w:type="spellStart"/>
      <w:r>
        <w:t>Кликабельные</w:t>
      </w:r>
      <w:proofErr w:type="spellEnd"/>
      <w:r>
        <w:t xml:space="preserve"> переходы между реестрами и справочниками по ссылкам в строках</w:t>
      </w:r>
    </w:p>
    <w:p w:rsidR="00EC15EA" w:rsidRDefault="00D649AB" w:rsidP="00D649AB">
      <w:pPr>
        <w:jc w:val="both"/>
        <w:rPr>
          <w:sz w:val="26"/>
          <w:szCs w:val="26"/>
        </w:rPr>
      </w:pPr>
      <w:r>
        <w:t>4.</w:t>
      </w:r>
      <w:r>
        <w:tab/>
        <w:t>Переработка механизма квитирования событий</w:t>
      </w:r>
    </w:p>
    <w:p w:rsidR="00EC15EA" w:rsidRDefault="00D649AB" w:rsidP="00D649AB">
      <w:pPr>
        <w:jc w:val="both"/>
        <w:rPr>
          <w:sz w:val="26"/>
          <w:szCs w:val="26"/>
        </w:rPr>
      </w:pPr>
      <w:r>
        <w:t>5.</w:t>
      </w:r>
      <w:r>
        <w:tab/>
      </w:r>
      <w:r>
        <w:t xml:space="preserve">Поддержка унаследованных ИПУ с </w:t>
      </w:r>
      <w:proofErr w:type="spellStart"/>
      <w:r>
        <w:t>ZigBee</w:t>
      </w:r>
      <w:proofErr w:type="spellEnd"/>
      <w:r>
        <w:t xml:space="preserve"> от </w:t>
      </w:r>
      <w:proofErr w:type="spellStart"/>
      <w:r>
        <w:t>Нартис</w:t>
      </w:r>
      <w:proofErr w:type="spellEnd"/>
      <w:r>
        <w:t>, устанавливаемых и не включенных в ТЗ.</w:t>
      </w:r>
    </w:p>
    <w:p w:rsidR="00EC15EA" w:rsidRDefault="00D649AB" w:rsidP="00D649AB">
      <w:pPr>
        <w:jc w:val="both"/>
        <w:rPr>
          <w:sz w:val="26"/>
          <w:szCs w:val="26"/>
        </w:rPr>
      </w:pPr>
      <w:r>
        <w:t>6.</w:t>
      </w:r>
      <w:r>
        <w:tab/>
        <w:t xml:space="preserve">Поддержка УСПД </w:t>
      </w:r>
      <w:proofErr w:type="spellStart"/>
      <w:r>
        <w:t>Нартис</w:t>
      </w:r>
      <w:proofErr w:type="spellEnd"/>
      <w:r>
        <w:t xml:space="preserve"> с СКЗИ</w:t>
      </w:r>
    </w:p>
    <w:p w:rsidR="00EC15EA" w:rsidRDefault="00D649AB" w:rsidP="00D649AB">
      <w:pPr>
        <w:jc w:val="both"/>
        <w:rPr>
          <w:sz w:val="26"/>
          <w:szCs w:val="26"/>
        </w:rPr>
      </w:pPr>
      <w:r>
        <w:t>7.</w:t>
      </w:r>
      <w:r>
        <w:tab/>
        <w:t>Реестр работ по смене ПУ, история жизненного цикла ПУ</w:t>
      </w:r>
    </w:p>
    <w:p w:rsidR="00EC15EA" w:rsidRDefault="00D649AB" w:rsidP="00D649AB">
      <w:pPr>
        <w:jc w:val="both"/>
        <w:rPr>
          <w:sz w:val="26"/>
          <w:szCs w:val="26"/>
        </w:rPr>
      </w:pPr>
      <w:r>
        <w:t>8.</w:t>
      </w:r>
      <w:r>
        <w:tab/>
        <w:t xml:space="preserve">Создание </w:t>
      </w:r>
      <w:proofErr w:type="spellStart"/>
      <w:r>
        <w:t>Dashboard</w:t>
      </w:r>
      <w:proofErr w:type="spellEnd"/>
      <w:r>
        <w:t xml:space="preserve"> с индикаторами работы системы.</w:t>
      </w:r>
    </w:p>
    <w:p w:rsidR="00EC15EA" w:rsidRDefault="00D649AB" w:rsidP="00D649AB">
      <w:pPr>
        <w:jc w:val="both"/>
        <w:rPr>
          <w:sz w:val="26"/>
          <w:szCs w:val="26"/>
        </w:rPr>
      </w:pPr>
      <w:r>
        <w:t>9.</w:t>
      </w:r>
      <w:r>
        <w:tab/>
        <w:t xml:space="preserve">Создание </w:t>
      </w:r>
      <w:proofErr w:type="spellStart"/>
      <w:r>
        <w:t>Dashboard</w:t>
      </w:r>
      <w:proofErr w:type="spellEnd"/>
      <w:r>
        <w:t xml:space="preserve"> с инд</w:t>
      </w:r>
      <w:r>
        <w:t>икаторами сбора показаний, включая массовый сбой передачи данных</w:t>
      </w:r>
    </w:p>
    <w:p w:rsidR="00EC15EA" w:rsidRDefault="00D649AB" w:rsidP="00D649AB">
      <w:pPr>
        <w:jc w:val="both"/>
        <w:rPr>
          <w:sz w:val="26"/>
          <w:szCs w:val="26"/>
        </w:rPr>
      </w:pPr>
      <w:r>
        <w:t>10.</w:t>
      </w:r>
      <w:r>
        <w:tab/>
        <w:t>Сохранение с возможностью последующего редактирования пользовательских настроек (фильтров) отчётов</w:t>
      </w:r>
    </w:p>
    <w:p w:rsidR="00EC15EA" w:rsidRDefault="00D649AB" w:rsidP="00D649AB">
      <w:pPr>
        <w:jc w:val="both"/>
        <w:rPr>
          <w:sz w:val="26"/>
          <w:szCs w:val="26"/>
        </w:rPr>
      </w:pPr>
      <w:r>
        <w:t xml:space="preserve">Работы по условиям </w:t>
      </w:r>
      <w:proofErr w:type="gramStart"/>
      <w:r>
        <w:t>обеспечения ИБ</w:t>
      </w:r>
      <w:proofErr w:type="gramEnd"/>
      <w:r>
        <w:t xml:space="preserve"> определенные в письме от 25.09.2024 № ИН/КП/ДВ/172.</w:t>
      </w:r>
    </w:p>
    <w:p w:rsidR="00EC15EA" w:rsidRDefault="00D649AB" w:rsidP="00D649AB">
      <w:pPr>
        <w:jc w:val="both"/>
        <w:rPr>
          <w:sz w:val="26"/>
          <w:szCs w:val="26"/>
        </w:rPr>
      </w:pPr>
      <w:r>
        <w:t>Ра</w:t>
      </w:r>
      <w:r>
        <w:t>зработка документации, определенной в письме от 12.12.2023 № ИН/КП/ВК/155.</w:t>
      </w:r>
    </w:p>
    <w:p w:rsidR="00EC15EA" w:rsidRDefault="00D649AB" w:rsidP="00D649AB">
      <w:pPr>
        <w:jc w:val="both"/>
        <w:rPr>
          <w:sz w:val="26"/>
          <w:szCs w:val="26"/>
        </w:rPr>
      </w:pPr>
      <w:r>
        <w:t>Закупка планируется к проведению у единственного поставщика - ООО «СИГМА» в связи с тем, что данный поставщик будет осуществлять дальнейшее гарантийной обслуживание, а также по сооб</w:t>
      </w:r>
      <w:r>
        <w:t>ражениям стандартизации для обеспечения совместимости или преемственности с ранее приобретенной продукцией у данного поставщика.</w:t>
      </w:r>
    </w:p>
    <w:p w:rsidR="00EC15EA" w:rsidRDefault="00D649AB" w:rsidP="00D649AB">
      <w:pPr>
        <w:jc w:val="both"/>
        <w:rPr>
          <w:sz w:val="26"/>
          <w:szCs w:val="26"/>
        </w:rPr>
      </w:pPr>
      <w:r>
        <w:t xml:space="preserve">Заключение договора по проекту в 1кв.2026г согласно ГКПЗ 2026, работы проводятся с момента заключения договора.  В зависимости </w:t>
      </w:r>
      <w:r>
        <w:t>от условий договора работы закрываются поэтапно/по каждому ЗНИ/по факту выполнения части работ. Срок сдачи и приемки всех работ в 4 кв. 2026г.</w:t>
      </w:r>
      <w:bookmarkStart w:id="0" w:name="_GoBack"/>
      <w:bookmarkEnd w:id="0"/>
    </w:p>
    <w:p w:rsidR="00EC15EA" w:rsidRDefault="00EC15EA">
      <w:pPr>
        <w:rPr>
          <w:sz w:val="26"/>
          <w:szCs w:val="26"/>
        </w:rPr>
      </w:pPr>
    </w:p>
    <w:p w:rsidR="00EC15EA" w:rsidRDefault="00D649AB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EC15EA" w:rsidRDefault="00D649AB">
      <w:r>
        <w:t>Данный ИПКВ не включен в стратегические документы компании.</w:t>
      </w:r>
    </w:p>
    <w:p w:rsidR="00EC15EA" w:rsidRDefault="00D649AB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EC15EA" w:rsidRDefault="00D649AB">
      <w:pPr>
        <w:pStyle w:val="Normalparagraph"/>
      </w:pPr>
      <w:r>
        <w:t>Начало выполнения работ - 1 квартал 2026 г.</w:t>
      </w:r>
    </w:p>
    <w:p w:rsidR="00EC15EA" w:rsidRDefault="00D649AB">
      <w:pPr>
        <w:pStyle w:val="Normalparagraph"/>
        <w:spacing w:before="57"/>
      </w:pPr>
      <w:r>
        <w:t>Завершение работ - 4 квартал 2026 г.</w:t>
      </w:r>
    </w:p>
    <w:p w:rsidR="00EC15EA" w:rsidRDefault="00D649AB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EC15EA" w:rsidRDefault="00D649AB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lastRenderedPageBreak/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EC15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EC15EA" w:rsidRDefault="00D649AB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EC15EA" w:rsidRDefault="00D649AB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EC15EA" w:rsidRDefault="00D649AB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EC15EA" w:rsidRDefault="00D649AB">
            <w:pPr>
              <w:pStyle w:val="14"/>
            </w:pPr>
            <w:r>
              <w:t>Итого без НДС</w:t>
            </w:r>
          </w:p>
        </w:tc>
      </w:tr>
      <w:tr w:rsidR="00EC15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EC15EA" w:rsidRDefault="00D649AB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EC15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EC15EA" w:rsidRDefault="00D649AB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EC15EA" w:rsidRDefault="00D649AB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EC15EA" w:rsidRDefault="00D649AB">
            <w:pPr>
              <w:pStyle w:val="15"/>
            </w:pPr>
            <w:r>
              <w:t>8 212</w:t>
            </w:r>
          </w:p>
        </w:tc>
        <w:tc>
          <w:tcPr>
            <w:tcW w:w="1191" w:type="dxa"/>
            <w:vMerge w:val="restart"/>
            <w:noWrap/>
          </w:tcPr>
          <w:p w:rsidR="00EC15EA" w:rsidRDefault="00D649AB">
            <w:pPr>
              <w:pStyle w:val="15"/>
            </w:pPr>
            <w:r>
              <w:t>8 212</w:t>
            </w:r>
          </w:p>
        </w:tc>
      </w:tr>
      <w:tr w:rsidR="00EC15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EC15EA" w:rsidRDefault="00D649AB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EC15EA" w:rsidRDefault="00D649AB">
            <w:pPr>
              <w:pStyle w:val="15"/>
              <w:rPr>
                <w:bCs/>
              </w:rPr>
            </w:pPr>
            <w:r>
              <w:rPr>
                <w:bCs/>
              </w:rPr>
              <w:t>8 212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EC15EA" w:rsidRDefault="00D649AB">
            <w:pPr>
              <w:pStyle w:val="15"/>
              <w:rPr>
                <w:bCs/>
              </w:rPr>
            </w:pPr>
            <w:r>
              <w:rPr>
                <w:bCs/>
              </w:rPr>
              <w:t>8 212</w:t>
            </w:r>
          </w:p>
        </w:tc>
      </w:tr>
      <w:tr w:rsidR="00EC15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EC15EA" w:rsidRDefault="00D649AB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EC15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EC15EA" w:rsidRDefault="00D649AB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EC15EA" w:rsidRDefault="00EC15EA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EC15EA" w:rsidRDefault="00EC15EA">
            <w:pPr>
              <w:pStyle w:val="15"/>
              <w:rPr>
                <w:bCs/>
              </w:rPr>
            </w:pPr>
          </w:p>
        </w:tc>
      </w:tr>
      <w:tr w:rsidR="00EC15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EC15EA" w:rsidRDefault="00D649AB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EC15EA" w:rsidRDefault="00D649AB">
            <w:pPr>
              <w:pStyle w:val="15"/>
              <w:rPr>
                <w:bCs/>
              </w:rPr>
            </w:pPr>
            <w:r>
              <w:rPr>
                <w:bCs/>
              </w:rPr>
              <w:t>8 212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EC15EA" w:rsidRDefault="00D649AB">
            <w:pPr>
              <w:pStyle w:val="15"/>
              <w:rPr>
                <w:bCs/>
              </w:rPr>
            </w:pPr>
            <w:r>
              <w:rPr>
                <w:bCs/>
              </w:rPr>
              <w:t>8 212</w:t>
            </w:r>
          </w:p>
        </w:tc>
      </w:tr>
    </w:tbl>
    <w:p w:rsidR="00EC15EA" w:rsidRDefault="00EC15EA"/>
    <w:p w:rsidR="00EC15EA" w:rsidRDefault="00D649AB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EC15EA" w:rsidRDefault="00D649AB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EC15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EC15EA" w:rsidRDefault="00D649AB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EC15EA" w:rsidRDefault="00D649AB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EC15EA" w:rsidRDefault="00D649AB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EC15EA" w:rsidRDefault="00D649AB">
            <w:pPr>
              <w:pStyle w:val="14"/>
            </w:pPr>
            <w:r>
              <w:t>Итого с НДС</w:t>
            </w:r>
          </w:p>
        </w:tc>
      </w:tr>
      <w:tr w:rsidR="00EC15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EC15EA" w:rsidRDefault="00D649AB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EC15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EC15EA" w:rsidRDefault="00D649AB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EC15EA" w:rsidRDefault="00D649AB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EC15EA" w:rsidRDefault="00D649AB">
            <w:pPr>
              <w:pStyle w:val="15"/>
            </w:pPr>
            <w:r>
              <w:t>10 019</w:t>
            </w:r>
          </w:p>
        </w:tc>
        <w:tc>
          <w:tcPr>
            <w:tcW w:w="1191" w:type="dxa"/>
            <w:vMerge w:val="restart"/>
            <w:noWrap/>
          </w:tcPr>
          <w:p w:rsidR="00EC15EA" w:rsidRDefault="00D649AB">
            <w:pPr>
              <w:pStyle w:val="15"/>
            </w:pPr>
            <w:r>
              <w:t>10 019</w:t>
            </w:r>
          </w:p>
        </w:tc>
      </w:tr>
      <w:tr w:rsidR="00EC15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EC15EA" w:rsidRDefault="00D649AB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EC15EA" w:rsidRDefault="00D649AB">
            <w:pPr>
              <w:pStyle w:val="15"/>
              <w:rPr>
                <w:bCs/>
              </w:rPr>
            </w:pPr>
            <w:r>
              <w:rPr>
                <w:bCs/>
              </w:rPr>
              <w:t>10 019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EC15EA" w:rsidRDefault="00D649AB">
            <w:pPr>
              <w:pStyle w:val="15"/>
              <w:rPr>
                <w:bCs/>
              </w:rPr>
            </w:pPr>
            <w:r>
              <w:rPr>
                <w:bCs/>
              </w:rPr>
              <w:t>10 019</w:t>
            </w:r>
          </w:p>
        </w:tc>
      </w:tr>
      <w:tr w:rsidR="00EC15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EC15EA" w:rsidRDefault="00D649AB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EC15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EC15EA" w:rsidRDefault="00D649AB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EC15EA" w:rsidRDefault="00EC15EA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EC15EA" w:rsidRDefault="00EC15EA">
            <w:pPr>
              <w:pStyle w:val="15"/>
              <w:rPr>
                <w:bCs/>
              </w:rPr>
            </w:pPr>
          </w:p>
        </w:tc>
      </w:tr>
      <w:tr w:rsidR="00EC15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EC15EA" w:rsidRDefault="00D649AB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EC15EA" w:rsidRDefault="00D649AB">
            <w:pPr>
              <w:pStyle w:val="15"/>
              <w:rPr>
                <w:bCs/>
              </w:rPr>
            </w:pPr>
            <w:r>
              <w:rPr>
                <w:bCs/>
              </w:rPr>
              <w:t>10 019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EC15EA" w:rsidRDefault="00D649AB">
            <w:pPr>
              <w:pStyle w:val="15"/>
              <w:rPr>
                <w:bCs/>
              </w:rPr>
            </w:pPr>
            <w:r>
              <w:rPr>
                <w:bCs/>
              </w:rPr>
              <w:t>10 019</w:t>
            </w:r>
          </w:p>
        </w:tc>
      </w:tr>
    </w:tbl>
    <w:p w:rsidR="00EC15EA" w:rsidRDefault="00EC15EA"/>
    <w:p w:rsidR="00EC15EA" w:rsidRDefault="00D649AB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EC15EA" w:rsidRDefault="00D649AB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EC15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EC15EA" w:rsidRDefault="00D649AB">
            <w:pPr>
              <w:pStyle w:val="14"/>
            </w:pPr>
            <w:r>
              <w:t>КЛЮЧЕВЫЕ КОНТРОЛЬНЫЕ ТОЧКИ</w:t>
            </w:r>
          </w:p>
        </w:tc>
      </w:tr>
      <w:tr w:rsidR="00EC15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EC15EA" w:rsidRDefault="00D649AB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EC15EA" w:rsidRDefault="00D649AB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EC15EA" w:rsidRDefault="00D649AB">
            <w:pPr>
              <w:pStyle w:val="14"/>
            </w:pPr>
            <w:r>
              <w:t>Плановая дата</w:t>
            </w:r>
          </w:p>
        </w:tc>
      </w:tr>
    </w:tbl>
    <w:p w:rsidR="00EC15EA" w:rsidRDefault="00EC15EA"/>
    <w:p w:rsidR="00EC15EA" w:rsidRDefault="00D649AB">
      <w:pPr>
        <w:pStyle w:val="1"/>
        <w:numPr>
          <w:ilvl w:val="0"/>
          <w:numId w:val="1"/>
        </w:numPr>
      </w:pPr>
      <w:r>
        <w:t>КОНТАКТНОЕ ЛИЦО</w:t>
      </w:r>
    </w:p>
    <w:p w:rsidR="00EC15EA" w:rsidRDefault="00D649AB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EC15EA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15EA" w:rsidRDefault="00D649AB">
      <w:r>
        <w:separator/>
      </w:r>
    </w:p>
  </w:endnote>
  <w:endnote w:type="continuationSeparator" w:id="0">
    <w:p w:rsidR="00EC15EA" w:rsidRDefault="00D64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5EA" w:rsidRDefault="00D649AB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15EA" w:rsidRDefault="00D649AB">
      <w:r>
        <w:separator/>
      </w:r>
    </w:p>
  </w:footnote>
  <w:footnote w:type="continuationSeparator" w:id="0">
    <w:p w:rsidR="00EC15EA" w:rsidRDefault="00D649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0553ED"/>
    <w:multiLevelType w:val="multilevel"/>
    <w:tmpl w:val="79B214F2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5EA"/>
    <w:rsid w:val="00D649AB"/>
    <w:rsid w:val="00EC1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DDA78"/>
  <w15:docId w15:val="{504FFA0A-102D-4CCC-B6AD-01A89B32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847</Words>
  <Characters>4832</Characters>
  <Application>Microsoft Office Word</Application>
  <DocSecurity>0</DocSecurity>
  <Lines>40</Lines>
  <Paragraphs>11</Paragraphs>
  <ScaleCrop>false</ScaleCrop>
  <Company/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2026-04-07T11:52:00Z</dcterms:created>
  <dcterms:modified xsi:type="dcterms:W3CDTF">2026-04-07T11:53:00Z</dcterms:modified>
</cp:coreProperties>
</file>